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3578F">
      <w:pPr>
        <w:jc w:val="center"/>
        <w:rPr>
          <w:rFonts w:ascii="Arial" w:hAnsi="Arial" w:cs="Arial"/>
          <w:b/>
          <w:sz w:val="28"/>
          <w:szCs w:val="28"/>
        </w:rPr>
      </w:pPr>
      <w:r>
        <w:rPr>
          <w:rFonts w:ascii="Arial" w:hAnsi="Arial" w:cs="Arial"/>
          <w:b/>
          <w:sz w:val="28"/>
          <w:szCs w:val="28"/>
        </w:rPr>
        <w:t>O B A V I J E S T</w:t>
      </w:r>
    </w:p>
    <w:p w14:paraId="2FB17EC2">
      <w:pPr>
        <w:jc w:val="center"/>
        <w:rPr>
          <w:rFonts w:ascii="Arial" w:hAnsi="Arial" w:cs="Arial"/>
          <w:b/>
          <w:sz w:val="28"/>
          <w:szCs w:val="28"/>
        </w:rPr>
      </w:pPr>
      <w:r>
        <w:rPr>
          <w:rFonts w:ascii="Arial" w:hAnsi="Arial" w:cs="Arial"/>
          <w:b/>
          <w:sz w:val="28"/>
          <w:szCs w:val="28"/>
        </w:rPr>
        <w:t>O ZAMJENI PLINOVODA I PRIKLJUČAKA</w:t>
      </w:r>
    </w:p>
    <w:p w14:paraId="433AED57">
      <w:pPr>
        <w:rPr>
          <w:rFonts w:ascii="Arial" w:hAnsi="Arial" w:cs="Arial"/>
        </w:rPr>
      </w:pPr>
    </w:p>
    <w:p w14:paraId="7F5924AD">
      <w:pPr>
        <w:spacing w:line="276" w:lineRule="auto"/>
        <w:jc w:val="both"/>
        <w:rPr>
          <w:rFonts w:ascii="Arial" w:hAnsi="Arial" w:cs="Arial"/>
          <w:sz w:val="22"/>
          <w:szCs w:val="22"/>
        </w:rPr>
      </w:pPr>
      <w:r>
        <w:rPr>
          <w:rFonts w:ascii="Arial" w:hAnsi="Arial" w:cs="Arial"/>
          <w:sz w:val="22"/>
          <w:szCs w:val="22"/>
        </w:rPr>
        <w:t xml:space="preserve">Obavještavamo Vas da </w:t>
      </w:r>
      <w:r>
        <w:rPr>
          <w:rFonts w:ascii="Arial" w:hAnsi="Arial" w:cs="Arial"/>
          <w:b w:val="0"/>
          <w:bCs/>
          <w:sz w:val="22"/>
          <w:szCs w:val="22"/>
        </w:rPr>
        <w:t>u</w:t>
      </w:r>
      <w:r>
        <w:rPr>
          <w:rFonts w:ascii="Arial" w:hAnsi="Arial" w:cs="Arial"/>
          <w:b/>
          <w:sz w:val="22"/>
          <w:szCs w:val="22"/>
        </w:rPr>
        <w:t xml:space="preserve"> </w:t>
      </w:r>
      <w:r>
        <w:rPr>
          <w:rFonts w:hint="default" w:ascii="Arial" w:hAnsi="Arial" w:cs="Arial"/>
          <w:b/>
          <w:sz w:val="22"/>
          <w:szCs w:val="22"/>
          <w:lang w:val="hr-HR"/>
        </w:rPr>
        <w:t>9</w:t>
      </w:r>
      <w:r>
        <w:rPr>
          <w:rFonts w:ascii="Arial" w:hAnsi="Arial" w:cs="Arial"/>
          <w:b/>
          <w:sz w:val="22"/>
          <w:szCs w:val="22"/>
        </w:rPr>
        <w:t xml:space="preserve">. mjesecu 2025. godine </w:t>
      </w:r>
      <w:r>
        <w:rPr>
          <w:rFonts w:ascii="Arial" w:hAnsi="Arial" w:cs="Arial"/>
          <w:sz w:val="22"/>
          <w:szCs w:val="22"/>
        </w:rPr>
        <w:t>na navedenoj građevini planiramo obaviti radove na zamjeni postojećih plinovoda i priključaka.</w:t>
      </w:r>
    </w:p>
    <w:p w14:paraId="3C5219C3">
      <w:pPr>
        <w:spacing w:line="360" w:lineRule="auto"/>
        <w:jc w:val="both"/>
        <w:rPr>
          <w:rFonts w:ascii="Arial" w:hAnsi="Arial" w:cs="Arial"/>
          <w:sz w:val="22"/>
          <w:szCs w:val="22"/>
        </w:rPr>
      </w:pPr>
      <w:r>
        <w:rPr>
          <w:rFonts w:ascii="Arial" w:hAnsi="Arial" w:cs="Arial"/>
          <w:sz w:val="22"/>
          <w:szCs w:val="22"/>
        </w:rPr>
        <w:t>O točnom terminu obustave plina obavijestit ćemo Vas najmanje dva dana prije dana obustave.</w:t>
      </w:r>
    </w:p>
    <w:p w14:paraId="5D2BBE0C">
      <w:pPr>
        <w:rPr>
          <w:rFonts w:ascii="Arial" w:hAnsi="Arial" w:cs="Arial"/>
          <w:sz w:val="16"/>
          <w:szCs w:val="16"/>
        </w:rPr>
      </w:pPr>
    </w:p>
    <w:p w14:paraId="4A9C8432">
      <w:pPr>
        <w:rPr>
          <w:rFonts w:ascii="Arial" w:hAnsi="Arial" w:cs="Arial"/>
          <w:sz w:val="22"/>
          <w:szCs w:val="22"/>
        </w:rPr>
      </w:pPr>
      <w:r>
        <w:rPr>
          <w:rFonts w:ascii="Arial" w:hAnsi="Arial" w:cs="Arial"/>
          <w:sz w:val="22"/>
          <w:szCs w:val="22"/>
          <w:u w:val="single"/>
        </w:rPr>
        <w:t>GRAĐEVINA</w:t>
      </w:r>
      <w:r>
        <w:rPr>
          <w:rFonts w:ascii="Arial" w:hAnsi="Arial" w:cs="Arial"/>
          <w:sz w:val="22"/>
          <w:szCs w:val="22"/>
        </w:rPr>
        <w:t xml:space="preserve">: </w:t>
      </w:r>
      <w:r>
        <w:rPr>
          <w:rFonts w:hint="default" w:ascii="Arial" w:hAnsi="Arial" w:cs="Arial"/>
          <w:sz w:val="22"/>
          <w:szCs w:val="22"/>
          <w:lang w:val="hr-HR"/>
        </w:rPr>
        <w:t>STP SVETOŠIMUNSKA</w:t>
      </w:r>
      <w:r>
        <w:rPr>
          <w:rFonts w:ascii="Arial" w:hAnsi="Arial" w:cs="Arial"/>
          <w:b/>
        </w:rPr>
        <w:t xml:space="preserve">    </w:t>
      </w:r>
    </w:p>
    <w:p w14:paraId="36A94F51">
      <w:pPr>
        <w:rPr>
          <w:rFonts w:ascii="Arial" w:hAnsi="Arial" w:cs="Arial"/>
          <w:sz w:val="22"/>
          <w:szCs w:val="22"/>
        </w:rPr>
      </w:pPr>
    </w:p>
    <w:p w14:paraId="5B490737">
      <w:pPr>
        <w:rPr>
          <w:rFonts w:ascii="Arial" w:hAnsi="Arial" w:cs="Arial"/>
          <w:sz w:val="22"/>
          <w:szCs w:val="22"/>
        </w:rPr>
      </w:pPr>
      <w:r>
        <w:rPr>
          <w:rFonts w:ascii="Arial" w:hAnsi="Arial" w:cs="Arial"/>
          <w:sz w:val="22"/>
          <w:szCs w:val="22"/>
          <w:u w:val="single"/>
        </w:rPr>
        <w:t>ZONA OBUHVATA RADOVA</w:t>
      </w:r>
      <w:r>
        <w:rPr>
          <w:rFonts w:ascii="Arial" w:hAnsi="Arial" w:cs="Arial"/>
          <w:sz w:val="22"/>
          <w:szCs w:val="22"/>
        </w:rPr>
        <w:t>:</w:t>
      </w:r>
    </w:p>
    <w:p w14:paraId="545BA950">
      <w:pPr>
        <w:ind w:left="1134" w:hanging="1134"/>
        <w:rPr>
          <w:rFonts w:hint="default" w:ascii="Arial" w:hAnsi="Arial" w:cs="Arial"/>
          <w:b/>
          <w:bCs/>
          <w:lang w:val="hr-HR"/>
        </w:rPr>
      </w:pPr>
      <w:r>
        <w:rPr>
          <w:rFonts w:ascii="Arial" w:hAnsi="Arial" w:cs="Arial"/>
          <w:b/>
          <w:bCs/>
        </w:rPr>
        <w:t>S</w:t>
      </w:r>
      <w:r>
        <w:rPr>
          <w:rFonts w:hint="default" w:ascii="Arial" w:hAnsi="Arial" w:cs="Arial"/>
          <w:b/>
          <w:bCs/>
          <w:lang w:val="hr-HR"/>
        </w:rPr>
        <w:t>VETOŠIMUNSKA  82, 84, 86, 88, 107</w:t>
      </w:r>
      <w:bookmarkStart w:id="1" w:name="_GoBack"/>
      <w:bookmarkEnd w:id="1"/>
    </w:p>
    <w:p w14:paraId="22DB53F6">
      <w:pPr>
        <w:ind w:left="1134" w:hanging="1134"/>
        <w:rPr>
          <w:rFonts w:hint="default" w:ascii="Arial" w:hAnsi="Arial" w:cs="Arial"/>
          <w:b/>
          <w:bCs/>
          <w:lang w:val="hr-HR"/>
        </w:rPr>
      </w:pPr>
      <w:r>
        <w:rPr>
          <w:rFonts w:hint="default" w:ascii="Arial" w:hAnsi="Arial" w:cs="Arial"/>
          <w:b/>
          <w:bCs/>
          <w:lang w:val="hr-HR"/>
        </w:rPr>
        <w:t>ŠTEFANOVEC  2, 13</w:t>
      </w:r>
    </w:p>
    <w:p w14:paraId="75638E44">
      <w:pPr>
        <w:rPr>
          <w:rFonts w:ascii="Arial" w:hAnsi="Arial" w:cs="Arial"/>
          <w:b/>
          <w:sz w:val="16"/>
          <w:szCs w:val="16"/>
        </w:rPr>
      </w:pPr>
    </w:p>
    <w:p w14:paraId="1F3E50B0">
      <w:pPr>
        <w:spacing w:before="60" w:line="276" w:lineRule="auto"/>
        <w:rPr>
          <w:rFonts w:ascii="Arial" w:hAnsi="Arial" w:cs="Arial"/>
          <w:sz w:val="22"/>
          <w:szCs w:val="22"/>
          <w:u w:val="single"/>
        </w:rPr>
      </w:pPr>
      <w:r>
        <w:rPr>
          <w:rFonts w:ascii="Arial" w:hAnsi="Arial" w:cs="Arial"/>
          <w:sz w:val="22"/>
          <w:szCs w:val="22"/>
          <w:u w:val="single"/>
        </w:rPr>
        <w:t>PLANIRANI RADOVI:</w:t>
      </w:r>
    </w:p>
    <w:p w14:paraId="2716EAE6">
      <w:pPr>
        <w:spacing w:line="276" w:lineRule="auto"/>
        <w:ind w:left="851" w:hanging="425"/>
        <w:jc w:val="both"/>
        <w:rPr>
          <w:rFonts w:ascii="Arial" w:hAnsi="Arial" w:cs="Arial"/>
          <w:sz w:val="22"/>
          <w:szCs w:val="22"/>
        </w:rPr>
      </w:pPr>
      <w:r>
        <w:rPr>
          <w:rFonts w:ascii="Arial" w:hAnsi="Arial" w:cs="Arial"/>
          <w:sz w:val="22"/>
          <w:szCs w:val="22"/>
        </w:rPr>
        <w:t>1. Stavljanje izvan funkcije postojećih plinovoda i priključaka,</w:t>
      </w:r>
    </w:p>
    <w:p w14:paraId="71442044">
      <w:pPr>
        <w:spacing w:line="276" w:lineRule="auto"/>
        <w:ind w:left="851" w:hanging="425"/>
        <w:jc w:val="both"/>
        <w:rPr>
          <w:rFonts w:ascii="Arial" w:hAnsi="Arial" w:cs="Arial"/>
          <w:sz w:val="22"/>
          <w:szCs w:val="22"/>
        </w:rPr>
      </w:pPr>
      <w:r>
        <w:rPr>
          <w:rFonts w:ascii="Arial" w:hAnsi="Arial" w:cs="Arial"/>
          <w:sz w:val="22"/>
          <w:szCs w:val="22"/>
        </w:rPr>
        <w:t>2. Izgradnja novih plinovoda i priključaka,</w:t>
      </w:r>
    </w:p>
    <w:p w14:paraId="7A8EB306">
      <w:pPr>
        <w:spacing w:line="276" w:lineRule="auto"/>
        <w:ind w:left="851" w:hanging="425"/>
        <w:jc w:val="both"/>
        <w:rPr>
          <w:rFonts w:ascii="Arial" w:hAnsi="Arial" w:cs="Arial"/>
          <w:sz w:val="22"/>
          <w:szCs w:val="22"/>
        </w:rPr>
      </w:pPr>
      <w:r>
        <w:rPr>
          <w:rFonts w:ascii="Arial" w:hAnsi="Arial" w:cs="Arial"/>
          <w:sz w:val="22"/>
          <w:szCs w:val="22"/>
        </w:rPr>
        <w:t>3. Prespajanje unutarnjih plinskih instalacija na nove priključke i</w:t>
      </w:r>
    </w:p>
    <w:p w14:paraId="76920A83">
      <w:pPr>
        <w:spacing w:line="276" w:lineRule="auto"/>
        <w:ind w:left="709" w:hanging="283"/>
        <w:jc w:val="both"/>
        <w:rPr>
          <w:rFonts w:ascii="Arial" w:hAnsi="Arial" w:cs="Arial"/>
          <w:sz w:val="16"/>
          <w:szCs w:val="16"/>
        </w:rPr>
      </w:pPr>
      <w:r>
        <w:rPr>
          <w:rFonts w:ascii="Arial" w:hAnsi="Arial" w:cs="Arial"/>
          <w:sz w:val="22"/>
          <w:szCs w:val="22"/>
        </w:rPr>
        <w:t>4. Pregled i ispitivanje na nepropusnost unutarnjih plinskih instalacija, po potrebi zamjena plinomjera i puštanje plina u instalaciju.</w:t>
      </w:r>
    </w:p>
    <w:p w14:paraId="3F8A1C17">
      <w:pPr>
        <w:spacing w:line="276" w:lineRule="auto"/>
        <w:jc w:val="both"/>
        <w:rPr>
          <w:rFonts w:ascii="Arial" w:hAnsi="Arial" w:cs="Arial"/>
          <w:sz w:val="22"/>
          <w:szCs w:val="22"/>
        </w:rPr>
      </w:pPr>
      <w:r>
        <w:rPr>
          <w:rFonts w:ascii="Arial" w:hAnsi="Arial" w:cs="Arial"/>
          <w:sz w:val="22"/>
          <w:szCs w:val="22"/>
        </w:rPr>
        <w:t xml:space="preserve">Prilikom radova privremeno ćemo obustaviti dobavu plina koja će trajati neprekidno cca. </w:t>
      </w:r>
      <w:r>
        <w:rPr>
          <w:rFonts w:hint="default" w:ascii="Arial" w:hAnsi="Arial" w:cs="Arial"/>
          <w:sz w:val="22"/>
          <w:szCs w:val="22"/>
          <w:lang w:val="hr-HR"/>
        </w:rPr>
        <w:t>10</w:t>
      </w:r>
      <w:r>
        <w:rPr>
          <w:rFonts w:ascii="Arial" w:hAnsi="Arial" w:cs="Arial"/>
          <w:sz w:val="22"/>
          <w:szCs w:val="22"/>
        </w:rPr>
        <w:t xml:space="preserve"> dana te Vas molimo da se u tom razdoblju koristite drugim energentima. Za vrijeme radova na prometnicama će biti otežan promet i parkiranje vozila.</w:t>
      </w:r>
    </w:p>
    <w:p w14:paraId="3535F0C1">
      <w:pPr>
        <w:spacing w:before="120" w:line="276" w:lineRule="auto"/>
        <w:rPr>
          <w:rFonts w:ascii="Arial" w:hAnsi="Arial" w:cs="Arial"/>
          <w:sz w:val="22"/>
          <w:szCs w:val="22"/>
          <w:u w:val="single"/>
        </w:rPr>
      </w:pPr>
      <w:r>
        <w:rPr>
          <w:rFonts w:ascii="Arial" w:hAnsi="Arial" w:cs="Arial"/>
          <w:sz w:val="22"/>
          <w:szCs w:val="22"/>
          <w:u w:val="single"/>
        </w:rPr>
        <w:t>VAŠE OBVEZE:</w:t>
      </w:r>
    </w:p>
    <w:p w14:paraId="32FD8285">
      <w:pPr>
        <w:numPr>
          <w:ilvl w:val="0"/>
          <w:numId w:val="1"/>
        </w:numPr>
        <w:tabs>
          <w:tab w:val="left" w:pos="567"/>
          <w:tab w:val="clear" w:pos="1065"/>
        </w:tabs>
        <w:spacing w:line="276" w:lineRule="auto"/>
        <w:ind w:left="567" w:hanging="425"/>
        <w:jc w:val="both"/>
        <w:rPr>
          <w:rFonts w:ascii="Arial" w:hAnsi="Arial" w:cs="Arial"/>
          <w:sz w:val="22"/>
          <w:szCs w:val="22"/>
        </w:rPr>
      </w:pPr>
      <w:r>
        <w:rPr>
          <w:rFonts w:ascii="Arial" w:hAnsi="Arial" w:cs="Arial"/>
          <w:sz w:val="22"/>
          <w:szCs w:val="22"/>
        </w:rPr>
        <w:t xml:space="preserve">Vlasnik/predstavnik suvlasnika – omogućiti </w:t>
      </w:r>
      <w:bookmarkStart w:id="0" w:name="_Hlk197513080"/>
      <w:r>
        <w:rPr>
          <w:rFonts w:ascii="Arial" w:hAnsi="Arial" w:cs="Arial"/>
          <w:sz w:val="22"/>
          <w:szCs w:val="22"/>
        </w:rPr>
        <w:t xml:space="preserve">radnicima Gradske plinare Zagreb d.o.o. </w:t>
      </w:r>
      <w:bookmarkEnd w:id="0"/>
      <w:r>
        <w:rPr>
          <w:rFonts w:ascii="Arial" w:hAnsi="Arial" w:cs="Arial"/>
          <w:sz w:val="22"/>
          <w:szCs w:val="22"/>
        </w:rPr>
        <w:t>pristup priključku i glavnom zaporu i</w:t>
      </w:r>
    </w:p>
    <w:p w14:paraId="3DF471B7">
      <w:pPr>
        <w:numPr>
          <w:ilvl w:val="0"/>
          <w:numId w:val="1"/>
        </w:numPr>
        <w:tabs>
          <w:tab w:val="left" w:pos="567"/>
          <w:tab w:val="clear" w:pos="1065"/>
        </w:tabs>
        <w:spacing w:line="276" w:lineRule="auto"/>
        <w:ind w:left="567" w:hanging="425"/>
        <w:jc w:val="both"/>
        <w:rPr>
          <w:rFonts w:ascii="Arial" w:hAnsi="Arial" w:cs="Arial"/>
          <w:sz w:val="22"/>
          <w:szCs w:val="22"/>
        </w:rPr>
      </w:pPr>
      <w:r>
        <w:rPr>
          <w:rFonts w:ascii="Arial" w:hAnsi="Arial" w:cs="Arial"/>
          <w:sz w:val="22"/>
          <w:szCs w:val="22"/>
        </w:rPr>
        <w:t>Korisnik plina – omogućiti radnicima Gradske plinare Zagreb d.o.o. ulaz u stanove radi izvođenja radova pod stavkom 4. O točnom terminu obavijestit ćemo Vas dva dana ranije.</w:t>
      </w:r>
    </w:p>
    <w:p w14:paraId="35380868">
      <w:pPr>
        <w:numPr>
          <w:ilvl w:val="0"/>
          <w:numId w:val="1"/>
        </w:numPr>
        <w:tabs>
          <w:tab w:val="left" w:pos="567"/>
          <w:tab w:val="clear" w:pos="1065"/>
        </w:tabs>
        <w:spacing w:line="276" w:lineRule="auto"/>
        <w:ind w:left="567" w:hanging="425"/>
        <w:jc w:val="both"/>
        <w:rPr>
          <w:rFonts w:ascii="Arial" w:hAnsi="Arial" w:cs="Arial"/>
          <w:sz w:val="22"/>
          <w:szCs w:val="22"/>
        </w:rPr>
      </w:pPr>
      <w:r>
        <w:rPr>
          <w:rFonts w:ascii="Arial" w:hAnsi="Arial" w:cs="Arial"/>
          <w:sz w:val="22"/>
          <w:szCs w:val="22"/>
        </w:rPr>
        <w:t>Kod završnih radova puštanja plina u unutarnju plinsku instalaciju obvezni ste radnicima Gradske plinare Zagreb d.o.o. predočiti nalaz ovlaštenog servisera o održavanju u ispravnom stanju plinskih trošila ne stariji od 12 mjeseci te pozitivan stručni nalaz dimnjaka za trošila spojena na dimnjak ne stariji od 6 mjeseci, jer u protivnom nećemo moći pustiti plin u uporabu. Ako ne posjedujete zatraženu dokumentaciju, pribavite je od vašeg dimnjačara i servisera trošila.</w:t>
      </w:r>
    </w:p>
    <w:p w14:paraId="63EFE52E">
      <w:pPr>
        <w:numPr>
          <w:ilvl w:val="0"/>
          <w:numId w:val="1"/>
        </w:numPr>
        <w:tabs>
          <w:tab w:val="left" w:pos="567"/>
          <w:tab w:val="clear" w:pos="1065"/>
        </w:tabs>
        <w:spacing w:line="276" w:lineRule="auto"/>
        <w:ind w:left="567" w:hanging="425"/>
        <w:jc w:val="both"/>
        <w:rPr>
          <w:rFonts w:ascii="Arial" w:hAnsi="Arial" w:cs="Arial"/>
          <w:sz w:val="22"/>
          <w:szCs w:val="22"/>
        </w:rPr>
      </w:pPr>
      <w:r>
        <w:rPr>
          <w:rFonts w:ascii="Arial" w:hAnsi="Arial" w:cs="Arial"/>
          <w:sz w:val="22"/>
          <w:szCs w:val="22"/>
        </w:rPr>
        <w:t xml:space="preserve">Ako se prilikom pregleda i ispitivanja unutarnjih plinskih instalacija utvrdi propusnost ili tehnička neispravnost na istima neće se pustiti plin sve dok se nedostatak ne ukloni. Kako bi se otklonili nedostaci, korisnik plina treba zatražiti usluge stručno tehnički osposobljenog plinoinstalatera za neispravnu plinsku instalaciju i/ili plinoservisera za neispravno plinsko trošilo. Popis stručno tehnički osposobljenih plinoinstalatera možete pronaći na poveznici </w:t>
      </w:r>
      <w:r>
        <w:rPr>
          <w:rFonts w:ascii="Arial" w:hAnsi="Arial" w:cs="Arial"/>
          <w:sz w:val="22"/>
          <w:szCs w:val="22"/>
        </w:rPr>
        <w:fldChar w:fldCharType="begin"/>
      </w:r>
      <w:r>
        <w:rPr>
          <w:rFonts w:ascii="Arial" w:hAnsi="Arial" w:cs="Arial"/>
          <w:sz w:val="22"/>
          <w:szCs w:val="22"/>
        </w:rPr>
        <w:instrText xml:space="preserve"> HYPERLINK "http://www.plinara-zagreb.hr" </w:instrText>
      </w:r>
      <w:r>
        <w:rPr>
          <w:rFonts w:ascii="Arial" w:hAnsi="Arial" w:cs="Arial"/>
          <w:sz w:val="22"/>
          <w:szCs w:val="22"/>
        </w:rPr>
        <w:fldChar w:fldCharType="separate"/>
      </w:r>
      <w:r>
        <w:rPr>
          <w:rStyle w:val="8"/>
          <w:rFonts w:ascii="Arial" w:hAnsi="Arial" w:cs="Arial"/>
          <w:sz w:val="22"/>
          <w:szCs w:val="22"/>
        </w:rPr>
        <w:t>www.plinara-zagreb.hr</w:t>
      </w:r>
      <w:r>
        <w:rPr>
          <w:rFonts w:ascii="Arial" w:hAnsi="Arial" w:cs="Arial"/>
          <w:sz w:val="22"/>
          <w:szCs w:val="22"/>
        </w:rPr>
        <w:fldChar w:fldCharType="end"/>
      </w:r>
      <w:r>
        <w:rPr>
          <w:rFonts w:ascii="Arial" w:hAnsi="Arial" w:cs="Arial"/>
          <w:sz w:val="22"/>
          <w:szCs w:val="22"/>
        </w:rPr>
        <w:t>. Sve troškove radova koji se odnose na otklanjanje nedostataka unutarnje plinske instalacije snose korisnici plina.</w:t>
      </w:r>
    </w:p>
    <w:p w14:paraId="660DEE7C">
      <w:pPr>
        <w:spacing w:line="276" w:lineRule="auto"/>
        <w:jc w:val="both"/>
        <w:rPr>
          <w:rFonts w:ascii="Arial" w:hAnsi="Arial" w:cs="Arial"/>
          <w:sz w:val="22"/>
          <w:szCs w:val="22"/>
        </w:rPr>
      </w:pPr>
    </w:p>
    <w:p w14:paraId="659C578B">
      <w:pPr>
        <w:spacing w:line="276" w:lineRule="auto"/>
        <w:jc w:val="both"/>
        <w:rPr>
          <w:rFonts w:ascii="Arial" w:hAnsi="Arial" w:cs="Arial"/>
          <w:sz w:val="22"/>
          <w:szCs w:val="22"/>
        </w:rPr>
      </w:pPr>
      <w:r>
        <mc:AlternateContent>
          <mc:Choice Requires="wps">
            <w:drawing>
              <wp:anchor distT="45720" distB="45720" distL="114300" distR="114300" simplePos="0" relativeHeight="251659264" behindDoc="0" locked="0" layoutInCell="1" allowOverlap="1">
                <wp:simplePos x="0" y="0"/>
                <wp:positionH relativeFrom="column">
                  <wp:posOffset>10795</wp:posOffset>
                </wp:positionH>
                <wp:positionV relativeFrom="paragraph">
                  <wp:posOffset>835660</wp:posOffset>
                </wp:positionV>
                <wp:extent cx="2858770" cy="929005"/>
                <wp:effectExtent l="0" t="0" r="17780" b="4445"/>
                <wp:wrapSquare wrapText="bothSides"/>
                <wp:docPr id="1" name="Text Box 2"/>
                <wp:cNvGraphicFramePr/>
                <a:graphic xmlns:a="http://schemas.openxmlformats.org/drawingml/2006/main">
                  <a:graphicData uri="http://schemas.microsoft.com/office/word/2010/wordprocessingShape">
                    <wps:wsp>
                      <wps:cNvSpPr txBox="1"/>
                      <wps:spPr>
                        <a:xfrm>
                          <a:off x="0" y="0"/>
                          <a:ext cx="2858770" cy="929005"/>
                        </a:xfrm>
                        <a:prstGeom prst="rect">
                          <a:avLst/>
                        </a:prstGeom>
                        <a:solidFill>
                          <a:srgbClr val="FFFFFF"/>
                        </a:solidFill>
                        <a:ln>
                          <a:noFill/>
                        </a:ln>
                      </wps:spPr>
                      <wps:txbx>
                        <w:txbxContent>
                          <w:p w14:paraId="369F6933">
                            <w:pPr>
                              <w:rPr>
                                <w:i/>
                                <w:iCs/>
                                <w:sz w:val="22"/>
                                <w:szCs w:val="22"/>
                              </w:rPr>
                            </w:pPr>
                            <w:r>
                              <w:rPr>
                                <w:i/>
                                <w:iCs/>
                                <w:sz w:val="22"/>
                                <w:szCs w:val="22"/>
                              </w:rPr>
                              <w:t>Za samoočitanje potrošnje plina, neovisno o tome tko je Vaš opskrbljivač plinom, za Vas smo osigurali besplatni govorni automat 0800 0019 ili nam stanje potrošnje plina dostavite na https://ocitanje.plinara-zagreb.hr/.</w:t>
                            </w:r>
                          </w:p>
                        </w:txbxContent>
                      </wps:txbx>
                      <wps:bodyPr vert="horz" wrap="square" anchor="t" anchorCtr="0" upright="1"/>
                    </wps:wsp>
                  </a:graphicData>
                </a:graphic>
              </wp:anchor>
            </w:drawing>
          </mc:Choice>
          <mc:Fallback>
            <w:pict>
              <v:shape id="Text Box 2" o:spid="_x0000_s1026" o:spt="202" type="#_x0000_t202" style="position:absolute;left:0pt;margin-left:0.85pt;margin-top:65.8pt;height:73.15pt;width:225.1pt;mso-wrap-distance-bottom:3.6pt;mso-wrap-distance-left:9pt;mso-wrap-distance-right:9pt;mso-wrap-distance-top:3.6pt;z-index:251659264;mso-width-relative:page;mso-height-relative:page;" fillcolor="#FFFFFF" filled="t" stroked="f" coordsize="21600,21600" o:gfxdata="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cM30vXAAAACQEAAA8AAAAAAAAAAQAgAAAAIgAAAGRy&#10;cy9kb3ducmV2LnhtbFBLAQIUABQAAAAIAIdO4kDd9leMzQEAAKkDAAAOAAAAAAAAAAEAIAAAACYB&#10;AABkcnMvZTJvRG9jLnhtbFBLBQYAAAAABgAGAFkBAABlBQAAAAA=&#10;">
                <v:fill on="t" focussize="0,0"/>
                <v:stroke on="f"/>
                <v:imagedata o:title=""/>
                <o:lock v:ext="edit" aspectratio="f"/>
                <v:textbox>
                  <w:txbxContent>
                    <w:p w14:paraId="369F6933">
                      <w:pPr>
                        <w:rPr>
                          <w:i/>
                          <w:iCs/>
                          <w:sz w:val="22"/>
                          <w:szCs w:val="22"/>
                        </w:rPr>
                      </w:pPr>
                      <w:r>
                        <w:rPr>
                          <w:i/>
                          <w:iCs/>
                          <w:sz w:val="22"/>
                          <w:szCs w:val="22"/>
                        </w:rPr>
                        <w:t>Za samoočitanje potrošnje plina, neovisno o tome tko je Vaš opskrbljivač plinom, za Vas smo osigurali besplatni govorni automat 0800 0019 ili nam stanje potrošnje plina dostavite na https://ocitanje.plinara-zagreb.hr/.</w:t>
                      </w:r>
                    </w:p>
                  </w:txbxContent>
                </v:textbox>
                <w10:wrap type="square"/>
              </v:shape>
            </w:pict>
          </mc:Fallback>
        </mc:AlternateContent>
      </w:r>
      <w:r>
        <w:rPr>
          <w:rFonts w:ascii="Arial" w:hAnsi="Arial" w:cs="Arial"/>
          <w:sz w:val="22"/>
          <w:szCs w:val="22"/>
        </w:rPr>
        <w:t>Dodatne informacije o planiranim radovima možete dobiti u Gradskoj plinari Zagreb d.o.o., Radnička cesta 1, Služba investicija, Odjel priprema rada na tel:</w:t>
      </w:r>
      <w:r>
        <w:rPr>
          <w:rFonts w:ascii="Arial" w:hAnsi="Arial" w:cs="Arial"/>
          <w:color w:val="FF0000"/>
          <w:sz w:val="22"/>
          <w:szCs w:val="22"/>
        </w:rPr>
        <w:t xml:space="preserve"> </w:t>
      </w:r>
      <w:r>
        <w:rPr>
          <w:rFonts w:ascii="Arial" w:hAnsi="Arial" w:cs="Arial"/>
          <w:sz w:val="22"/>
          <w:szCs w:val="22"/>
        </w:rPr>
        <w:t>01/6437-589, 01/6437-572, a za pregled i ispitivanje nepropusnosti unutarnje plinske instalacije te puštanja plina u istu u Službi tehničke podrške na tel: 01/6437-526.</w:t>
      </w:r>
      <w:r>
        <w:rPr>
          <w:rFonts w:hint="default" w:ascii="Arial" w:hAnsi="Arial" w:cs="Arial"/>
          <w:sz w:val="22"/>
          <w:szCs w:val="22"/>
          <w:lang w:val="hr-HR"/>
        </w:rPr>
        <w:t xml:space="preserve"> </w:t>
      </w:r>
      <w:r>
        <w:rPr>
          <w:rFonts w:ascii="Arial" w:hAnsi="Arial" w:cs="Arial"/>
          <w:sz w:val="22"/>
          <w:szCs w:val="22"/>
        </w:rPr>
        <w:t>Hvala na razumijevanju.</w:t>
      </w:r>
    </w:p>
    <w:p w14:paraId="114DF828">
      <w:pPr>
        <w:spacing w:line="276" w:lineRule="auto"/>
        <w:jc w:val="both"/>
        <w:rPr>
          <w:rFonts w:ascii="Arial" w:hAnsi="Arial" w:cs="Arial"/>
          <w:sz w:val="22"/>
          <w:szCs w:val="22"/>
        </w:rPr>
      </w:pPr>
    </w:p>
    <w:p w14:paraId="2571E867">
      <w:pPr>
        <w:jc w:val="both"/>
        <w:rPr>
          <w:rFonts w:ascii="Arial" w:hAnsi="Arial" w:cs="Arial"/>
          <w:sz w:val="22"/>
          <w:szCs w:val="22"/>
        </w:rPr>
      </w:pPr>
      <w:r>
        <w:drawing>
          <wp:inline distT="0" distB="0" distL="114300" distR="114300">
            <wp:extent cx="742315" cy="647065"/>
            <wp:effectExtent l="0" t="0" r="635" b="635"/>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pic:cNvPicPr>
                  </pic:nvPicPr>
                  <pic:blipFill>
                    <a:blip r:embed="rId5"/>
                    <a:stretch>
                      <a:fillRect/>
                    </a:stretch>
                  </pic:blipFill>
                  <pic:spPr>
                    <a:xfrm>
                      <a:off x="0" y="0"/>
                      <a:ext cx="742315" cy="647065"/>
                    </a:xfrm>
                    <a:prstGeom prst="rect">
                      <a:avLst/>
                    </a:prstGeom>
                    <a:noFill/>
                    <a:ln>
                      <a:noFill/>
                    </a:ln>
                  </pic:spPr>
                </pic:pic>
              </a:graphicData>
            </a:graphic>
          </wp:inline>
        </w:drawing>
      </w:r>
      <w:r>
        <w:rPr>
          <w:rFonts w:hint="default"/>
          <w:lang w:val="hr-HR"/>
        </w:rPr>
        <w:t xml:space="preserve">                           </w:t>
      </w:r>
      <w:r>
        <w:rPr>
          <w:rFonts w:ascii="Arial" w:hAnsi="Arial" w:cs="Arial"/>
          <w:bCs/>
          <w:sz w:val="22"/>
          <w:szCs w:val="22"/>
        </w:rPr>
        <w:t xml:space="preserve">Zagreb, </w:t>
      </w:r>
      <w:r>
        <w:rPr>
          <w:rFonts w:hint="default" w:ascii="Arial" w:hAnsi="Arial" w:cs="Arial"/>
          <w:bCs/>
          <w:sz w:val="22"/>
          <w:szCs w:val="22"/>
          <w:lang w:val="hr-HR"/>
        </w:rPr>
        <w:t>10</w:t>
      </w:r>
      <w:r>
        <w:rPr>
          <w:rFonts w:ascii="Arial" w:hAnsi="Arial" w:cs="Arial"/>
          <w:bCs/>
          <w:sz w:val="22"/>
          <w:szCs w:val="22"/>
        </w:rPr>
        <w:t>.</w:t>
      </w:r>
      <w:r>
        <w:rPr>
          <w:rFonts w:hint="default" w:ascii="Arial" w:hAnsi="Arial" w:cs="Arial"/>
          <w:bCs/>
          <w:sz w:val="22"/>
          <w:szCs w:val="22"/>
          <w:lang w:val="hr-HR"/>
        </w:rPr>
        <w:t>9</w:t>
      </w:r>
      <w:r>
        <w:rPr>
          <w:rFonts w:ascii="Arial" w:hAnsi="Arial" w:cs="Arial"/>
          <w:bCs/>
          <w:sz w:val="22"/>
          <w:szCs w:val="22"/>
        </w:rPr>
        <w:t>.2025. godine</w:t>
      </w:r>
    </w:p>
    <w:sectPr>
      <w:headerReference r:id="rId3" w:type="default"/>
      <w:pgSz w:w="11906" w:h="16838"/>
      <w:pgMar w:top="128" w:right="748" w:bottom="142" w:left="851" w:header="13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10498" w:type="dxa"/>
      <w:tblInd w:w="0" w:type="dxa"/>
      <w:tblLayout w:type="autofit"/>
      <w:tblCellMar>
        <w:top w:w="0" w:type="dxa"/>
        <w:left w:w="108" w:type="dxa"/>
        <w:bottom w:w="0" w:type="dxa"/>
        <w:right w:w="108" w:type="dxa"/>
      </w:tblCellMar>
    </w:tblPr>
    <w:tblGrid>
      <w:gridCol w:w="876"/>
      <w:gridCol w:w="4251"/>
      <w:gridCol w:w="1068"/>
      <w:gridCol w:w="1071"/>
      <w:gridCol w:w="1071"/>
      <w:gridCol w:w="2161"/>
    </w:tblGrid>
    <w:tr w14:paraId="379B13BB">
      <w:tblPrEx>
        <w:tblCellMar>
          <w:top w:w="0" w:type="dxa"/>
          <w:left w:w="108" w:type="dxa"/>
          <w:bottom w:w="0" w:type="dxa"/>
          <w:right w:w="108" w:type="dxa"/>
        </w:tblCellMar>
      </w:tblPrEx>
      <w:trPr>
        <w:trHeight w:val="273" w:hRule="atLeast"/>
      </w:trPr>
      <w:tc>
        <w:tcPr>
          <w:tcW w:w="876" w:type="dxa"/>
          <w:vMerge w:val="restart"/>
          <w:noWrap w:val="0"/>
          <w:vAlign w:val="top"/>
        </w:tcPr>
        <w:p w14:paraId="4E460860">
          <w:pPr>
            <w:pStyle w:val="7"/>
          </w:pPr>
          <w:r>
            <w:drawing>
              <wp:inline distT="0" distB="0" distL="114300" distR="114300">
                <wp:extent cx="411480" cy="731520"/>
                <wp:effectExtent l="0" t="0" r="7620" b="11430"/>
                <wp:docPr id="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1"/>
                        <pic:cNvPicPr>
                          <a:picLocks noChangeAspect="1"/>
                        </pic:cNvPicPr>
                      </pic:nvPicPr>
                      <pic:blipFill>
                        <a:blip r:embed="rId1"/>
                        <a:stretch>
                          <a:fillRect/>
                        </a:stretch>
                      </pic:blipFill>
                      <pic:spPr>
                        <a:xfrm>
                          <a:off x="0" y="0"/>
                          <a:ext cx="411480" cy="731520"/>
                        </a:xfrm>
                        <a:prstGeom prst="rect">
                          <a:avLst/>
                        </a:prstGeom>
                        <a:noFill/>
                        <a:ln>
                          <a:noFill/>
                        </a:ln>
                      </pic:spPr>
                    </pic:pic>
                  </a:graphicData>
                </a:graphic>
              </wp:inline>
            </w:drawing>
          </w:r>
        </w:p>
      </w:tc>
      <w:tc>
        <w:tcPr>
          <w:tcW w:w="9622" w:type="dxa"/>
          <w:gridSpan w:val="5"/>
          <w:noWrap w:val="0"/>
          <w:vAlign w:val="top"/>
        </w:tcPr>
        <w:p w14:paraId="68F00C11">
          <w:pPr>
            <w:pStyle w:val="7"/>
          </w:pPr>
        </w:p>
      </w:tc>
    </w:tr>
    <w:tr w14:paraId="78BEFC3A">
      <w:tblPrEx>
        <w:tblCellMar>
          <w:top w:w="0" w:type="dxa"/>
          <w:left w:w="108" w:type="dxa"/>
          <w:bottom w:w="0" w:type="dxa"/>
          <w:right w:w="108" w:type="dxa"/>
        </w:tblCellMar>
      </w:tblPrEx>
      <w:trPr>
        <w:trHeight w:val="568" w:hRule="atLeast"/>
      </w:trPr>
      <w:tc>
        <w:tcPr>
          <w:tcW w:w="876" w:type="dxa"/>
          <w:vMerge w:val="continue"/>
          <w:noWrap w:val="0"/>
          <w:vAlign w:val="top"/>
        </w:tcPr>
        <w:p w14:paraId="6ADB2CC7">
          <w:pPr>
            <w:pStyle w:val="7"/>
          </w:pPr>
        </w:p>
      </w:tc>
      <w:tc>
        <w:tcPr>
          <w:tcW w:w="9622" w:type="dxa"/>
          <w:gridSpan w:val="5"/>
          <w:noWrap w:val="0"/>
          <w:vAlign w:val="center"/>
        </w:tcPr>
        <w:p w14:paraId="444E92E4">
          <w:pPr>
            <w:pStyle w:val="2"/>
            <w:ind w:right="-102"/>
            <w:rPr>
              <w:rFonts w:cs="Arial"/>
              <w:sz w:val="22"/>
            </w:rPr>
          </w:pPr>
          <w:r>
            <w:rPr>
              <w:rFonts w:cs="Arial"/>
              <w:sz w:val="36"/>
            </w:rPr>
            <w:t>GRADSKA PLINARA ZAGREB d.o.o.</w:t>
          </w:r>
          <w:r>
            <w:rPr>
              <w:rFonts w:cs="Arial"/>
            </w:rPr>
            <w:tab/>
          </w:r>
          <w:r>
            <w:rPr>
              <w:rFonts w:cs="Arial"/>
              <w:sz w:val="22"/>
            </w:rPr>
            <w:t>Radnička cesta 1, Zagreb</w:t>
          </w:r>
        </w:p>
        <w:p w14:paraId="5E35EEA5">
          <w:r>
            <w:rPr>
              <w:rFonts w:ascii="Arial" w:hAnsi="Arial" w:cs="Arial"/>
              <w:color w:val="0000FF"/>
            </w:rPr>
            <w:t>SEKTOR RAZVOJA I INVESTICIJA</w:t>
          </w:r>
        </w:p>
      </w:tc>
    </w:tr>
    <w:tr w14:paraId="460AC174">
      <w:tblPrEx>
        <w:tblCellMar>
          <w:top w:w="0" w:type="dxa"/>
          <w:left w:w="108" w:type="dxa"/>
          <w:bottom w:w="0" w:type="dxa"/>
          <w:right w:w="108" w:type="dxa"/>
        </w:tblCellMar>
      </w:tblPrEx>
      <w:trPr>
        <w:trHeight w:val="860" w:hRule="atLeast"/>
      </w:trPr>
      <w:tc>
        <w:tcPr>
          <w:tcW w:w="876" w:type="dxa"/>
          <w:vMerge w:val="continue"/>
          <w:noWrap w:val="0"/>
          <w:vAlign w:val="top"/>
        </w:tcPr>
        <w:p w14:paraId="5BECFE2F">
          <w:pPr>
            <w:pStyle w:val="7"/>
          </w:pPr>
        </w:p>
      </w:tc>
      <w:tc>
        <w:tcPr>
          <w:tcW w:w="4251" w:type="dxa"/>
          <w:noWrap w:val="0"/>
          <w:vAlign w:val="top"/>
        </w:tcPr>
        <w:p w14:paraId="7F8EC370">
          <w:pPr>
            <w:pStyle w:val="7"/>
          </w:pPr>
        </w:p>
      </w:tc>
      <w:tc>
        <w:tcPr>
          <w:tcW w:w="1068" w:type="dxa"/>
          <w:noWrap w:val="0"/>
          <w:vAlign w:val="center"/>
        </w:tcPr>
        <w:p w14:paraId="036FDD45">
          <w:pPr>
            <w:pStyle w:val="7"/>
            <w:jc w:val="right"/>
          </w:pPr>
          <w:r>
            <w:drawing>
              <wp:anchor distT="0" distB="0" distL="114300" distR="114300" simplePos="0" relativeHeight="251659264" behindDoc="0" locked="0" layoutInCell="1" allowOverlap="1">
                <wp:simplePos x="0" y="0"/>
                <wp:positionH relativeFrom="column">
                  <wp:posOffset>306070</wp:posOffset>
                </wp:positionH>
                <wp:positionV relativeFrom="paragraph">
                  <wp:posOffset>-48895</wp:posOffset>
                </wp:positionV>
                <wp:extent cx="1501775" cy="428625"/>
                <wp:effectExtent l="0" t="0" r="3175" b="9525"/>
                <wp:wrapNone/>
                <wp:docPr id="3" name="Picture 1" descr="A black and orange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orange check mark&#10;&#10;Description automatically generated"/>
                        <pic:cNvPicPr>
                          <a:picLocks noChangeAspect="1"/>
                        </pic:cNvPicPr>
                      </pic:nvPicPr>
                      <pic:blipFill>
                        <a:blip r:embed="rId2"/>
                        <a:stretch>
                          <a:fillRect/>
                        </a:stretch>
                      </pic:blipFill>
                      <pic:spPr>
                        <a:xfrm>
                          <a:off x="0" y="0"/>
                          <a:ext cx="1501775" cy="428625"/>
                        </a:xfrm>
                        <a:prstGeom prst="rect">
                          <a:avLst/>
                        </a:prstGeom>
                        <a:noFill/>
                        <a:ln>
                          <a:noFill/>
                        </a:ln>
                      </pic:spPr>
                    </pic:pic>
                  </a:graphicData>
                </a:graphic>
              </wp:anchor>
            </w:drawing>
          </w:r>
        </w:p>
      </w:tc>
      <w:tc>
        <w:tcPr>
          <w:tcW w:w="1071" w:type="dxa"/>
          <w:noWrap w:val="0"/>
          <w:vAlign w:val="center"/>
        </w:tcPr>
        <w:p w14:paraId="77D0D875">
          <w:pPr>
            <w:pStyle w:val="7"/>
            <w:jc w:val="right"/>
          </w:pPr>
        </w:p>
      </w:tc>
      <w:tc>
        <w:tcPr>
          <w:tcW w:w="1071" w:type="dxa"/>
          <w:noWrap w:val="0"/>
          <w:vAlign w:val="center"/>
        </w:tcPr>
        <w:p w14:paraId="477F7E82">
          <w:pPr>
            <w:pStyle w:val="7"/>
            <w:jc w:val="right"/>
          </w:pPr>
        </w:p>
      </w:tc>
      <w:tc>
        <w:tcPr>
          <w:tcW w:w="2161" w:type="dxa"/>
          <w:noWrap w:val="0"/>
          <w:vAlign w:val="top"/>
        </w:tcPr>
        <w:p w14:paraId="392004A1">
          <w:pPr>
            <w:pStyle w:val="7"/>
          </w:pPr>
          <w:r>
            <w:drawing>
              <wp:anchor distT="0" distB="0" distL="114300" distR="114300" simplePos="0" relativeHeight="251662336" behindDoc="1" locked="0" layoutInCell="1" allowOverlap="1">
                <wp:simplePos x="0" y="0"/>
                <wp:positionH relativeFrom="column">
                  <wp:posOffset>770255</wp:posOffset>
                </wp:positionH>
                <wp:positionV relativeFrom="paragraph">
                  <wp:posOffset>14605</wp:posOffset>
                </wp:positionV>
                <wp:extent cx="415925" cy="415925"/>
                <wp:effectExtent l="0" t="0" r="3175" b="3175"/>
                <wp:wrapThrough wrapText="bothSides">
                  <wp:wrapPolygon>
                    <wp:start x="-491" y="0"/>
                    <wp:lineTo x="-491" y="21109"/>
                    <wp:lineTo x="21600" y="21109"/>
                    <wp:lineTo x="21600" y="0"/>
                    <wp:lineTo x="-491" y="0"/>
                  </wp:wrapPolygon>
                </wp:wrapThrough>
                <wp:docPr id="6" name="Picture 4" descr="A blue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blue and white card&#10;&#10;Description automatically generated"/>
                        <pic:cNvPicPr>
                          <a:picLocks noChangeAspect="1"/>
                        </pic:cNvPicPr>
                      </pic:nvPicPr>
                      <pic:blipFill>
                        <a:blip r:embed="rId3"/>
                        <a:stretch>
                          <a:fillRect/>
                        </a:stretch>
                      </pic:blipFill>
                      <pic:spPr>
                        <a:xfrm>
                          <a:off x="0" y="0"/>
                          <a:ext cx="415925" cy="41592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289560</wp:posOffset>
                </wp:positionH>
                <wp:positionV relativeFrom="paragraph">
                  <wp:posOffset>19685</wp:posOffset>
                </wp:positionV>
                <wp:extent cx="414655" cy="414655"/>
                <wp:effectExtent l="0" t="0" r="4445" b="4445"/>
                <wp:wrapNone/>
                <wp:docPr id="5" name="Picture 2" descr="A blue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blue and white card&#10;&#10;Description automatically generated"/>
                        <pic:cNvPicPr>
                          <a:picLocks noChangeAspect="1"/>
                        </pic:cNvPicPr>
                      </pic:nvPicPr>
                      <pic:blipFill>
                        <a:blip r:embed="rId4"/>
                        <a:stretch>
                          <a:fillRect/>
                        </a:stretch>
                      </pic:blipFill>
                      <pic:spPr>
                        <a:xfrm>
                          <a:off x="0" y="0"/>
                          <a:ext cx="414655" cy="41465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-174625</wp:posOffset>
                </wp:positionH>
                <wp:positionV relativeFrom="paragraph">
                  <wp:posOffset>20955</wp:posOffset>
                </wp:positionV>
                <wp:extent cx="409575" cy="409575"/>
                <wp:effectExtent l="0" t="0" r="9525" b="9525"/>
                <wp:wrapNone/>
                <wp:docPr id="4" name="Picture 3" descr="A blue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white card&#10;&#10;Description automatically generated"/>
                        <pic:cNvPicPr>
                          <a:picLocks noChangeAspect="1"/>
                        </pic:cNvPicPr>
                      </pic:nvPicPr>
                      <pic:blipFill>
                        <a:blip r:embed="rId5"/>
                        <a:stretch>
                          <a:fillRect/>
                        </a:stretch>
                      </pic:blipFill>
                      <pic:spPr>
                        <a:xfrm>
                          <a:off x="0" y="0"/>
                          <a:ext cx="409575" cy="409575"/>
                        </a:xfrm>
                        <a:prstGeom prst="rect">
                          <a:avLst/>
                        </a:prstGeom>
                        <a:noFill/>
                        <a:ln>
                          <a:noFill/>
                        </a:ln>
                      </pic:spPr>
                    </pic:pic>
                  </a:graphicData>
                </a:graphic>
              </wp:anchor>
            </w:drawing>
          </w:r>
        </w:p>
      </w:tc>
    </w:tr>
  </w:tbl>
  <w:p w14:paraId="426A08C4">
    <w:pPr>
      <w:pStyle w:val="7"/>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A18F6"/>
    <w:multiLevelType w:val="multilevel"/>
    <w:tmpl w:val="22AA18F6"/>
    <w:lvl w:ilvl="0" w:tentative="0">
      <w:start w:val="1"/>
      <w:numFmt w:val="bullet"/>
      <w:lvlText w:val="-"/>
      <w:lvlJc w:val="left"/>
      <w:pPr>
        <w:tabs>
          <w:tab w:val="left" w:pos="1065"/>
        </w:tabs>
        <w:ind w:left="1065" w:hanging="360"/>
      </w:pPr>
      <w:rPr>
        <w:rFonts w:hint="default" w:ascii="Arial" w:hAnsi="Arial" w:eastAsia="Times New Roman" w:cs="Arial"/>
      </w:rPr>
    </w:lvl>
    <w:lvl w:ilvl="1" w:tentative="0">
      <w:start w:val="1"/>
      <w:numFmt w:val="bullet"/>
      <w:lvlText w:val="o"/>
      <w:lvlJc w:val="left"/>
      <w:pPr>
        <w:tabs>
          <w:tab w:val="left" w:pos="1785"/>
        </w:tabs>
        <w:ind w:left="1785" w:hanging="360"/>
      </w:pPr>
      <w:rPr>
        <w:rFonts w:hint="default" w:ascii="Courier New" w:hAnsi="Courier New" w:cs="Courier New"/>
      </w:rPr>
    </w:lvl>
    <w:lvl w:ilvl="2" w:tentative="0">
      <w:start w:val="1"/>
      <w:numFmt w:val="bullet"/>
      <w:lvlText w:val=""/>
      <w:lvlJc w:val="left"/>
      <w:pPr>
        <w:tabs>
          <w:tab w:val="left" w:pos="2505"/>
        </w:tabs>
        <w:ind w:left="2505" w:hanging="360"/>
      </w:pPr>
      <w:rPr>
        <w:rFonts w:hint="default" w:ascii="Wingdings" w:hAnsi="Wingdings"/>
      </w:rPr>
    </w:lvl>
    <w:lvl w:ilvl="3" w:tentative="0">
      <w:start w:val="1"/>
      <w:numFmt w:val="bullet"/>
      <w:lvlText w:val=""/>
      <w:lvlJc w:val="left"/>
      <w:pPr>
        <w:tabs>
          <w:tab w:val="left" w:pos="3225"/>
        </w:tabs>
        <w:ind w:left="3225" w:hanging="360"/>
      </w:pPr>
      <w:rPr>
        <w:rFonts w:hint="default" w:ascii="Symbol" w:hAnsi="Symbol"/>
      </w:rPr>
    </w:lvl>
    <w:lvl w:ilvl="4" w:tentative="0">
      <w:start w:val="1"/>
      <w:numFmt w:val="bullet"/>
      <w:lvlText w:val="o"/>
      <w:lvlJc w:val="left"/>
      <w:pPr>
        <w:tabs>
          <w:tab w:val="left" w:pos="3945"/>
        </w:tabs>
        <w:ind w:left="3945" w:hanging="360"/>
      </w:pPr>
      <w:rPr>
        <w:rFonts w:hint="default" w:ascii="Courier New" w:hAnsi="Courier New" w:cs="Courier New"/>
      </w:rPr>
    </w:lvl>
    <w:lvl w:ilvl="5" w:tentative="0">
      <w:start w:val="1"/>
      <w:numFmt w:val="bullet"/>
      <w:lvlText w:val=""/>
      <w:lvlJc w:val="left"/>
      <w:pPr>
        <w:tabs>
          <w:tab w:val="left" w:pos="4665"/>
        </w:tabs>
        <w:ind w:left="4665" w:hanging="360"/>
      </w:pPr>
      <w:rPr>
        <w:rFonts w:hint="default" w:ascii="Wingdings" w:hAnsi="Wingdings"/>
      </w:rPr>
    </w:lvl>
    <w:lvl w:ilvl="6" w:tentative="0">
      <w:start w:val="1"/>
      <w:numFmt w:val="bullet"/>
      <w:lvlText w:val=""/>
      <w:lvlJc w:val="left"/>
      <w:pPr>
        <w:tabs>
          <w:tab w:val="left" w:pos="5385"/>
        </w:tabs>
        <w:ind w:left="5385" w:hanging="360"/>
      </w:pPr>
      <w:rPr>
        <w:rFonts w:hint="default" w:ascii="Symbol" w:hAnsi="Symbol"/>
      </w:rPr>
    </w:lvl>
    <w:lvl w:ilvl="7" w:tentative="0">
      <w:start w:val="1"/>
      <w:numFmt w:val="bullet"/>
      <w:lvlText w:val="o"/>
      <w:lvlJc w:val="left"/>
      <w:pPr>
        <w:tabs>
          <w:tab w:val="left" w:pos="6105"/>
        </w:tabs>
        <w:ind w:left="6105" w:hanging="360"/>
      </w:pPr>
      <w:rPr>
        <w:rFonts w:hint="default" w:ascii="Courier New" w:hAnsi="Courier New" w:cs="Courier New"/>
      </w:rPr>
    </w:lvl>
    <w:lvl w:ilvl="8" w:tentative="0">
      <w:start w:val="1"/>
      <w:numFmt w:val="bullet"/>
      <w:lvlText w:val=""/>
      <w:lvlJc w:val="left"/>
      <w:pPr>
        <w:tabs>
          <w:tab w:val="left" w:pos="6825"/>
        </w:tabs>
        <w:ind w:left="6825"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characterSpacingControl w:val="doNotCompress"/>
  <w:hdrShapeDefaults>
    <o:shapelayout v:ext="edit">
      <o:idmap v:ext="edit" data="1"/>
    </o:shapelayout>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8D"/>
    <w:rsid w:val="00004EC6"/>
    <w:rsid w:val="00005D8D"/>
    <w:rsid w:val="00010554"/>
    <w:rsid w:val="00015626"/>
    <w:rsid w:val="000209D4"/>
    <w:rsid w:val="00024E32"/>
    <w:rsid w:val="00030BB7"/>
    <w:rsid w:val="000350DB"/>
    <w:rsid w:val="0004510A"/>
    <w:rsid w:val="000506B6"/>
    <w:rsid w:val="0005442B"/>
    <w:rsid w:val="00061549"/>
    <w:rsid w:val="0006169F"/>
    <w:rsid w:val="00072C94"/>
    <w:rsid w:val="000740F5"/>
    <w:rsid w:val="000758DB"/>
    <w:rsid w:val="00076EB0"/>
    <w:rsid w:val="000871FE"/>
    <w:rsid w:val="000B6B66"/>
    <w:rsid w:val="000B795F"/>
    <w:rsid w:val="000C687C"/>
    <w:rsid w:val="000D191B"/>
    <w:rsid w:val="000D62D2"/>
    <w:rsid w:val="000F7069"/>
    <w:rsid w:val="001006E9"/>
    <w:rsid w:val="00100702"/>
    <w:rsid w:val="00107B54"/>
    <w:rsid w:val="00114091"/>
    <w:rsid w:val="001330B2"/>
    <w:rsid w:val="00135214"/>
    <w:rsid w:val="00143F2A"/>
    <w:rsid w:val="001465D7"/>
    <w:rsid w:val="001568C3"/>
    <w:rsid w:val="00161498"/>
    <w:rsid w:val="001633D9"/>
    <w:rsid w:val="001634DD"/>
    <w:rsid w:val="00163A49"/>
    <w:rsid w:val="00164F34"/>
    <w:rsid w:val="0016651B"/>
    <w:rsid w:val="001710EB"/>
    <w:rsid w:val="0018560D"/>
    <w:rsid w:val="001956D3"/>
    <w:rsid w:val="001A0653"/>
    <w:rsid w:val="001C7E1F"/>
    <w:rsid w:val="001E12CE"/>
    <w:rsid w:val="001E41BF"/>
    <w:rsid w:val="001E4C76"/>
    <w:rsid w:val="0020397B"/>
    <w:rsid w:val="00206867"/>
    <w:rsid w:val="002218E1"/>
    <w:rsid w:val="0023158D"/>
    <w:rsid w:val="00235A89"/>
    <w:rsid w:val="00235D4A"/>
    <w:rsid w:val="00253D9C"/>
    <w:rsid w:val="00254877"/>
    <w:rsid w:val="00255B3A"/>
    <w:rsid w:val="00261901"/>
    <w:rsid w:val="002711A8"/>
    <w:rsid w:val="00271629"/>
    <w:rsid w:val="00283F9C"/>
    <w:rsid w:val="00296385"/>
    <w:rsid w:val="002A0138"/>
    <w:rsid w:val="002B67CA"/>
    <w:rsid w:val="002C3BAA"/>
    <w:rsid w:val="002D1E3A"/>
    <w:rsid w:val="00303876"/>
    <w:rsid w:val="003109C7"/>
    <w:rsid w:val="003214BC"/>
    <w:rsid w:val="00321BA5"/>
    <w:rsid w:val="003315AA"/>
    <w:rsid w:val="00343F0D"/>
    <w:rsid w:val="00361C27"/>
    <w:rsid w:val="00364893"/>
    <w:rsid w:val="00385548"/>
    <w:rsid w:val="00393C48"/>
    <w:rsid w:val="003A1D6C"/>
    <w:rsid w:val="003A47A6"/>
    <w:rsid w:val="003B0AD4"/>
    <w:rsid w:val="003B5177"/>
    <w:rsid w:val="003B6EFF"/>
    <w:rsid w:val="003E4366"/>
    <w:rsid w:val="003E462D"/>
    <w:rsid w:val="003F0DB0"/>
    <w:rsid w:val="003F4141"/>
    <w:rsid w:val="00400979"/>
    <w:rsid w:val="00401240"/>
    <w:rsid w:val="004018BA"/>
    <w:rsid w:val="00406F74"/>
    <w:rsid w:val="00411202"/>
    <w:rsid w:val="00423EC9"/>
    <w:rsid w:val="00443E35"/>
    <w:rsid w:val="0045374C"/>
    <w:rsid w:val="00453A3A"/>
    <w:rsid w:val="004554F2"/>
    <w:rsid w:val="004559CE"/>
    <w:rsid w:val="00481E02"/>
    <w:rsid w:val="0048478D"/>
    <w:rsid w:val="00485A30"/>
    <w:rsid w:val="004B2B07"/>
    <w:rsid w:val="004C25F0"/>
    <w:rsid w:val="004D095D"/>
    <w:rsid w:val="004D43DD"/>
    <w:rsid w:val="004D563D"/>
    <w:rsid w:val="004D698A"/>
    <w:rsid w:val="004E1A4F"/>
    <w:rsid w:val="004E2313"/>
    <w:rsid w:val="004E28B2"/>
    <w:rsid w:val="004E6F89"/>
    <w:rsid w:val="004F3167"/>
    <w:rsid w:val="004F445B"/>
    <w:rsid w:val="00511ED5"/>
    <w:rsid w:val="00514EFC"/>
    <w:rsid w:val="00521D99"/>
    <w:rsid w:val="00524515"/>
    <w:rsid w:val="00551F97"/>
    <w:rsid w:val="0055358C"/>
    <w:rsid w:val="00554D67"/>
    <w:rsid w:val="005576D5"/>
    <w:rsid w:val="00563110"/>
    <w:rsid w:val="005778B6"/>
    <w:rsid w:val="00594E19"/>
    <w:rsid w:val="00595BC2"/>
    <w:rsid w:val="005B048F"/>
    <w:rsid w:val="005E28E6"/>
    <w:rsid w:val="005F2D4A"/>
    <w:rsid w:val="00606E75"/>
    <w:rsid w:val="00612750"/>
    <w:rsid w:val="00613385"/>
    <w:rsid w:val="00615FCE"/>
    <w:rsid w:val="006219D4"/>
    <w:rsid w:val="006364F5"/>
    <w:rsid w:val="00646667"/>
    <w:rsid w:val="00655D9E"/>
    <w:rsid w:val="00660E92"/>
    <w:rsid w:val="00661AA3"/>
    <w:rsid w:val="006675B3"/>
    <w:rsid w:val="00667A62"/>
    <w:rsid w:val="0067062D"/>
    <w:rsid w:val="00684436"/>
    <w:rsid w:val="00686BFA"/>
    <w:rsid w:val="00687053"/>
    <w:rsid w:val="00693ABC"/>
    <w:rsid w:val="006A1C05"/>
    <w:rsid w:val="006B24F9"/>
    <w:rsid w:val="006D4C8B"/>
    <w:rsid w:val="006D7E63"/>
    <w:rsid w:val="006E6CB0"/>
    <w:rsid w:val="007005F4"/>
    <w:rsid w:val="00710428"/>
    <w:rsid w:val="0071457E"/>
    <w:rsid w:val="00714E1D"/>
    <w:rsid w:val="0072563B"/>
    <w:rsid w:val="0074022B"/>
    <w:rsid w:val="00752F4D"/>
    <w:rsid w:val="00753E13"/>
    <w:rsid w:val="00756CF3"/>
    <w:rsid w:val="00772193"/>
    <w:rsid w:val="00776F3A"/>
    <w:rsid w:val="007866D1"/>
    <w:rsid w:val="0078768E"/>
    <w:rsid w:val="00790CA8"/>
    <w:rsid w:val="00791B97"/>
    <w:rsid w:val="007970AA"/>
    <w:rsid w:val="00797B5E"/>
    <w:rsid w:val="007A1C3A"/>
    <w:rsid w:val="007A2350"/>
    <w:rsid w:val="007B3F88"/>
    <w:rsid w:val="007D5710"/>
    <w:rsid w:val="007D61C8"/>
    <w:rsid w:val="007E780D"/>
    <w:rsid w:val="007F504E"/>
    <w:rsid w:val="0081664A"/>
    <w:rsid w:val="00852CFF"/>
    <w:rsid w:val="008568F3"/>
    <w:rsid w:val="00862F87"/>
    <w:rsid w:val="008637FB"/>
    <w:rsid w:val="00867579"/>
    <w:rsid w:val="0088017F"/>
    <w:rsid w:val="00882B3A"/>
    <w:rsid w:val="008913A4"/>
    <w:rsid w:val="008A5706"/>
    <w:rsid w:val="008B0DA6"/>
    <w:rsid w:val="008B26CB"/>
    <w:rsid w:val="008C49A5"/>
    <w:rsid w:val="008C5979"/>
    <w:rsid w:val="008D394B"/>
    <w:rsid w:val="008D683D"/>
    <w:rsid w:val="009079CB"/>
    <w:rsid w:val="00915CE2"/>
    <w:rsid w:val="00925701"/>
    <w:rsid w:val="009269C9"/>
    <w:rsid w:val="00941AC6"/>
    <w:rsid w:val="009423D6"/>
    <w:rsid w:val="0094736F"/>
    <w:rsid w:val="00952B07"/>
    <w:rsid w:val="00970363"/>
    <w:rsid w:val="009721E4"/>
    <w:rsid w:val="00984801"/>
    <w:rsid w:val="00993460"/>
    <w:rsid w:val="009A4F0C"/>
    <w:rsid w:val="009B5152"/>
    <w:rsid w:val="009B561C"/>
    <w:rsid w:val="009D4332"/>
    <w:rsid w:val="00A02CE3"/>
    <w:rsid w:val="00A05D5B"/>
    <w:rsid w:val="00A10AED"/>
    <w:rsid w:val="00A15D82"/>
    <w:rsid w:val="00A25477"/>
    <w:rsid w:val="00A419DF"/>
    <w:rsid w:val="00A42351"/>
    <w:rsid w:val="00A46B78"/>
    <w:rsid w:val="00A810F0"/>
    <w:rsid w:val="00AA7737"/>
    <w:rsid w:val="00AB04B2"/>
    <w:rsid w:val="00AB1C15"/>
    <w:rsid w:val="00AB3D51"/>
    <w:rsid w:val="00AB71E8"/>
    <w:rsid w:val="00AC0F18"/>
    <w:rsid w:val="00AC5621"/>
    <w:rsid w:val="00AC7702"/>
    <w:rsid w:val="00AD7A14"/>
    <w:rsid w:val="00AF4FD3"/>
    <w:rsid w:val="00AF745E"/>
    <w:rsid w:val="00B24DB4"/>
    <w:rsid w:val="00B30422"/>
    <w:rsid w:val="00B31004"/>
    <w:rsid w:val="00B31A0C"/>
    <w:rsid w:val="00B464E5"/>
    <w:rsid w:val="00B6096C"/>
    <w:rsid w:val="00B6247E"/>
    <w:rsid w:val="00B67A52"/>
    <w:rsid w:val="00B8282B"/>
    <w:rsid w:val="00B87A80"/>
    <w:rsid w:val="00B87BC7"/>
    <w:rsid w:val="00B9416D"/>
    <w:rsid w:val="00BB4C09"/>
    <w:rsid w:val="00BC6F12"/>
    <w:rsid w:val="00BD36B0"/>
    <w:rsid w:val="00BE091C"/>
    <w:rsid w:val="00BE1307"/>
    <w:rsid w:val="00BF6768"/>
    <w:rsid w:val="00BF6C22"/>
    <w:rsid w:val="00C02E72"/>
    <w:rsid w:val="00C07583"/>
    <w:rsid w:val="00C15749"/>
    <w:rsid w:val="00C249F9"/>
    <w:rsid w:val="00C32C27"/>
    <w:rsid w:val="00C33CF9"/>
    <w:rsid w:val="00C41379"/>
    <w:rsid w:val="00C6383F"/>
    <w:rsid w:val="00C65376"/>
    <w:rsid w:val="00C7207B"/>
    <w:rsid w:val="00C723BE"/>
    <w:rsid w:val="00C77531"/>
    <w:rsid w:val="00C84864"/>
    <w:rsid w:val="00CA1479"/>
    <w:rsid w:val="00CC35AE"/>
    <w:rsid w:val="00CC6B8F"/>
    <w:rsid w:val="00CD655C"/>
    <w:rsid w:val="00CD7592"/>
    <w:rsid w:val="00CE0D0E"/>
    <w:rsid w:val="00D00E3F"/>
    <w:rsid w:val="00D13631"/>
    <w:rsid w:val="00D14519"/>
    <w:rsid w:val="00D14DFE"/>
    <w:rsid w:val="00D4269F"/>
    <w:rsid w:val="00D4492B"/>
    <w:rsid w:val="00D61E00"/>
    <w:rsid w:val="00D62527"/>
    <w:rsid w:val="00D65842"/>
    <w:rsid w:val="00D729D1"/>
    <w:rsid w:val="00DD4F03"/>
    <w:rsid w:val="00DD6C19"/>
    <w:rsid w:val="00DF5A32"/>
    <w:rsid w:val="00E003CF"/>
    <w:rsid w:val="00E03A00"/>
    <w:rsid w:val="00E14B14"/>
    <w:rsid w:val="00E17310"/>
    <w:rsid w:val="00E200EE"/>
    <w:rsid w:val="00E317CA"/>
    <w:rsid w:val="00E35044"/>
    <w:rsid w:val="00E4189C"/>
    <w:rsid w:val="00E45F05"/>
    <w:rsid w:val="00E5405C"/>
    <w:rsid w:val="00E65824"/>
    <w:rsid w:val="00E72D2E"/>
    <w:rsid w:val="00E74DD3"/>
    <w:rsid w:val="00E8359E"/>
    <w:rsid w:val="00E84555"/>
    <w:rsid w:val="00E85B5F"/>
    <w:rsid w:val="00E934E6"/>
    <w:rsid w:val="00E97413"/>
    <w:rsid w:val="00E97AE8"/>
    <w:rsid w:val="00EC59E5"/>
    <w:rsid w:val="00ED0AD6"/>
    <w:rsid w:val="00ED6F53"/>
    <w:rsid w:val="00EE14F0"/>
    <w:rsid w:val="00EE3760"/>
    <w:rsid w:val="00F12A93"/>
    <w:rsid w:val="00F17D2E"/>
    <w:rsid w:val="00F17F7C"/>
    <w:rsid w:val="00F208AC"/>
    <w:rsid w:val="00F31852"/>
    <w:rsid w:val="00F339D8"/>
    <w:rsid w:val="00F37D87"/>
    <w:rsid w:val="00F5471A"/>
    <w:rsid w:val="00F72159"/>
    <w:rsid w:val="00FA14F2"/>
    <w:rsid w:val="00FB551D"/>
    <w:rsid w:val="00FB6945"/>
    <w:rsid w:val="00FC7162"/>
    <w:rsid w:val="00FD3E1D"/>
    <w:rsid w:val="00FD43FA"/>
    <w:rsid w:val="00FD4B02"/>
    <w:rsid w:val="00FE113C"/>
    <w:rsid w:val="00FE748D"/>
    <w:rsid w:val="03F82AD1"/>
    <w:rsid w:val="11F51CEA"/>
    <w:rsid w:val="139E3468"/>
    <w:rsid w:val="18015C4E"/>
    <w:rsid w:val="18C42357"/>
    <w:rsid w:val="2E1D1C67"/>
    <w:rsid w:val="37512750"/>
    <w:rsid w:val="37CD262B"/>
    <w:rsid w:val="6C194C66"/>
    <w:rsid w:val="702600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hr-HR" w:eastAsia="hr-HR" w:bidi="ar-SA"/>
    </w:rPr>
  </w:style>
  <w:style w:type="paragraph" w:styleId="2">
    <w:name w:val="heading 1"/>
    <w:basedOn w:val="1"/>
    <w:next w:val="1"/>
    <w:link w:val="9"/>
    <w:qFormat/>
    <w:uiPriority w:val="0"/>
    <w:pPr>
      <w:keepNext/>
      <w:tabs>
        <w:tab w:val="right" w:pos="9072"/>
      </w:tabs>
      <w:outlineLvl w:val="0"/>
    </w:pPr>
    <w:rPr>
      <w:rFonts w:ascii="Arial" w:hAnsi="Arial"/>
      <w:b/>
      <w:color w:val="0000FF"/>
      <w:sz w:val="32"/>
      <w:szCs w:val="20"/>
      <w:lang w:eastAsia="en-US"/>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alloon Text"/>
    <w:basedOn w:val="1"/>
    <w:semiHidden/>
    <w:qFormat/>
    <w:uiPriority w:val="0"/>
    <w:rPr>
      <w:rFonts w:ascii="Tahoma" w:hAnsi="Tahoma" w:cs="Tahoma"/>
      <w:sz w:val="16"/>
      <w:szCs w:val="16"/>
    </w:rPr>
  </w:style>
  <w:style w:type="paragraph" w:styleId="6">
    <w:name w:val="footer"/>
    <w:basedOn w:val="1"/>
    <w:link w:val="10"/>
    <w:qFormat/>
    <w:uiPriority w:val="0"/>
    <w:pPr>
      <w:tabs>
        <w:tab w:val="center" w:pos="4536"/>
        <w:tab w:val="right" w:pos="9072"/>
      </w:tabs>
    </w:pPr>
  </w:style>
  <w:style w:type="paragraph" w:styleId="7">
    <w:name w:val="header"/>
    <w:basedOn w:val="1"/>
    <w:link w:val="11"/>
    <w:qFormat/>
    <w:uiPriority w:val="0"/>
    <w:pPr>
      <w:tabs>
        <w:tab w:val="center" w:pos="4536"/>
        <w:tab w:val="right" w:pos="9072"/>
      </w:tabs>
    </w:pPr>
  </w:style>
  <w:style w:type="character" w:styleId="8">
    <w:name w:val="Hyperlink"/>
    <w:qFormat/>
    <w:uiPriority w:val="0"/>
    <w:rPr>
      <w:color w:val="0000FF"/>
      <w:u w:val="single"/>
    </w:rPr>
  </w:style>
  <w:style w:type="character" w:customStyle="1" w:styleId="9">
    <w:name w:val="Heading 1 Char"/>
    <w:link w:val="2"/>
    <w:qFormat/>
    <w:uiPriority w:val="0"/>
    <w:rPr>
      <w:rFonts w:ascii="Arial" w:hAnsi="Arial"/>
      <w:b/>
      <w:color w:val="0000FF"/>
      <w:sz w:val="32"/>
      <w:lang w:eastAsia="en-US"/>
    </w:rPr>
  </w:style>
  <w:style w:type="character" w:customStyle="1" w:styleId="10">
    <w:name w:val="Footer Char"/>
    <w:link w:val="6"/>
    <w:qFormat/>
    <w:uiPriority w:val="0"/>
    <w:rPr>
      <w:sz w:val="24"/>
      <w:szCs w:val="24"/>
    </w:rPr>
  </w:style>
  <w:style w:type="character" w:customStyle="1" w:styleId="11">
    <w:name w:val="Header Char"/>
    <w:link w:val="7"/>
    <w:qFormat/>
    <w:uiPriority w:val="0"/>
    <w:rPr>
      <w:sz w:val="24"/>
      <w:szCs w:val="24"/>
    </w:rPr>
  </w:style>
  <w:style w:type="character" w:customStyle="1" w:styleId="12">
    <w:name w:val="_Style 1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6.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428</Words>
  <Characters>2444</Characters>
  <Lines>20</Lines>
  <Paragraphs>5</Paragraphs>
  <TotalTime>14</TotalTime>
  <ScaleCrop>false</ScaleCrop>
  <LinksUpToDate>false</LinksUpToDate>
  <CharactersWithSpaces>2867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2025-06-13T11:41:00Z</dcterms:created>
  <dc:creator>jdurdek</dc:creator>
  <cp:lastModifiedBy>Danijel Nakic</cp:lastModifiedBy>
  <cp:lastPrinted>2025-07-16T12:28:00Z</cp:lastPrinted>
  <dcterms:modified xsi:type="dcterms:W3CDTF">2025-09-09T11:22:45Z</dcterms:modified>
  <dc:title>GRADSKA PLINARA ZAGREB</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14C3CC8095594DD19EC46B5CD704DDBF_13</vt:lpwstr>
  </property>
</Properties>
</file>